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03" w:rsidRDefault="002A6103" w:rsidP="002A6103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2A6103" w:rsidRDefault="002A6103" w:rsidP="002A6103">
      <w:r>
        <w:t>Se sídlem Římská 1255/27, 120 00 Praha 2 - Vinohrady</w:t>
      </w:r>
    </w:p>
    <w:p w:rsidR="002A6103" w:rsidRDefault="002A6103" w:rsidP="002A6103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2A6103" w:rsidRDefault="002A6103" w:rsidP="002A6103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:rsidR="002A6103" w:rsidRPr="00404171" w:rsidRDefault="002A6103" w:rsidP="002A6103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  <w:r w:rsidRPr="00404171">
        <w:rPr>
          <w:rFonts w:eastAsia="Times New Roman"/>
          <w:b/>
          <w:bCs/>
          <w:sz w:val="24"/>
          <w:szCs w:val="24"/>
          <w:lang w:eastAsia="cs-CZ"/>
        </w:rPr>
        <w:t>Předškolní vzdělávání</w:t>
      </w:r>
    </w:p>
    <w:p w:rsidR="002A6103" w:rsidRPr="00404171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vzdělávací programy (případná specifika – motivační názvy ŠVP apod.),</w:t>
      </w:r>
    </w:p>
    <w:p w:rsidR="002A6103" w:rsidRDefault="002A6103" w:rsidP="002A6103">
      <w:pPr>
        <w:pStyle w:val="Odstavecseseznamem"/>
        <w:rPr>
          <w:sz w:val="24"/>
        </w:rPr>
      </w:pPr>
      <w:r>
        <w:rPr>
          <w:sz w:val="24"/>
        </w:rPr>
        <w:t>Putování časem“, program zaměřený na vedení ke zdravému životnímu stylu, estetické aktivity,  environmentální výchova, spolupráce s rodinou. Témata jsou odvozována od sledu událostí v průběhu roku.</w:t>
      </w:r>
    </w:p>
    <w:p w:rsidR="002A6103" w:rsidRPr="00944D03" w:rsidRDefault="002A6103" w:rsidP="002A6103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2A6103" w:rsidRPr="00404171" w:rsidRDefault="002A6103" w:rsidP="002A6103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pedagogičtí pracovníci (odborná kvalifikace podle zákona č. 563/2004 Sb., </w:t>
      </w:r>
      <w:r w:rsidRPr="00404171">
        <w:rPr>
          <w:rFonts w:eastAsia="Times New Roman"/>
          <w:szCs w:val="24"/>
          <w:lang w:eastAsia="cs-CZ"/>
        </w:rPr>
        <w:br/>
        <w:t>o pedagogických pracovnících,</w:t>
      </w:r>
      <w:r>
        <w:rPr>
          <w:rFonts w:eastAsia="Times New Roman"/>
          <w:szCs w:val="24"/>
          <w:lang w:eastAsia="cs-CZ"/>
        </w:rPr>
        <w:t xml:space="preserve"> ve znění pozdějších předpisů),</w:t>
      </w:r>
    </w:p>
    <w:tbl>
      <w:tblPr>
        <w:tblpPr w:leftFromText="141" w:rightFromText="141" w:vertAnchor="text" w:horzAnchor="margin" w:tblpXSpec="right" w:tblpY="1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2A6103" w:rsidRPr="00404171" w:rsidTr="00162507">
        <w:trPr>
          <w:trHeight w:hRule="exact" w:val="510"/>
        </w:trPr>
        <w:tc>
          <w:tcPr>
            <w:tcW w:w="1250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.  celkem</w:t>
            </w:r>
          </w:p>
        </w:tc>
        <w:tc>
          <w:tcPr>
            <w:tcW w:w="1250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. s odbornou kvalifikací</w:t>
            </w:r>
          </w:p>
        </w:tc>
        <w:tc>
          <w:tcPr>
            <w:tcW w:w="1250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. bez odborné</w:t>
            </w: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kvalifikace</w:t>
            </w:r>
          </w:p>
        </w:tc>
      </w:tr>
      <w:tr w:rsidR="002A6103" w:rsidRPr="00404171" w:rsidTr="00162507">
        <w:trPr>
          <w:trHeight w:hRule="exact" w:val="510"/>
        </w:trPr>
        <w:tc>
          <w:tcPr>
            <w:tcW w:w="1250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</w:t>
            </w: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očet 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fyz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osoby) </w:t>
            </w: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br/>
              <w:t>k 31. 12. 2020</w:t>
            </w:r>
          </w:p>
        </w:tc>
        <w:tc>
          <w:tcPr>
            <w:tcW w:w="1250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15</w:t>
            </w:r>
          </w:p>
        </w:tc>
        <w:tc>
          <w:tcPr>
            <w:tcW w:w="1250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13</w:t>
            </w:r>
          </w:p>
        </w:tc>
        <w:tc>
          <w:tcPr>
            <w:tcW w:w="1250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2</w:t>
            </w:r>
          </w:p>
        </w:tc>
      </w:tr>
    </w:tbl>
    <w:p w:rsidR="002A6103" w:rsidRPr="00404171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věková struktura pedagogických pracovníků</w:t>
      </w:r>
    </w:p>
    <w:tbl>
      <w:tblPr>
        <w:tblpPr w:leftFromText="141" w:rightFromText="141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1385"/>
        <w:gridCol w:w="1385"/>
        <w:gridCol w:w="1385"/>
        <w:gridCol w:w="1385"/>
        <w:gridCol w:w="1383"/>
      </w:tblGrid>
      <w:tr w:rsidR="002A6103" w:rsidRPr="00404171" w:rsidTr="00162507">
        <w:trPr>
          <w:trHeight w:hRule="exact" w:val="510"/>
        </w:trPr>
        <w:tc>
          <w:tcPr>
            <w:tcW w:w="1181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věk</w:t>
            </w:r>
          </w:p>
        </w:tc>
        <w:tc>
          <w:tcPr>
            <w:tcW w:w="764" w:type="pct"/>
          </w:tcPr>
          <w:p w:rsidR="002A6103" w:rsidRPr="00404171" w:rsidRDefault="002A6103" w:rsidP="00162507">
            <w:pPr>
              <w:spacing w:line="180" w:lineRule="exact"/>
              <w:jc w:val="center"/>
              <w:rPr>
                <w:rFonts w:eastAsia="Times New Roman"/>
                <w:b/>
                <w:bCs/>
                <w:color w:val="FF0000"/>
                <w:sz w:val="20"/>
                <w:szCs w:val="24"/>
                <w:lang w:eastAsia="cs-CZ"/>
              </w:rPr>
            </w:pPr>
          </w:p>
          <w:p w:rsidR="002A6103" w:rsidRPr="00404171" w:rsidRDefault="002A6103" w:rsidP="00162507">
            <w:pPr>
              <w:spacing w:line="180" w:lineRule="exact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do 30</w:t>
            </w:r>
          </w:p>
        </w:tc>
        <w:tc>
          <w:tcPr>
            <w:tcW w:w="764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31 - 40</w:t>
            </w:r>
          </w:p>
        </w:tc>
        <w:tc>
          <w:tcPr>
            <w:tcW w:w="764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41 - 50</w:t>
            </w:r>
          </w:p>
        </w:tc>
        <w:tc>
          <w:tcPr>
            <w:tcW w:w="764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51 - 60</w:t>
            </w:r>
          </w:p>
        </w:tc>
        <w:tc>
          <w:tcPr>
            <w:tcW w:w="763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61 – a více</w:t>
            </w:r>
          </w:p>
        </w:tc>
      </w:tr>
      <w:tr w:rsidR="002A6103" w:rsidRPr="00404171" w:rsidTr="00162507">
        <w:trPr>
          <w:trHeight w:hRule="exact" w:val="510"/>
        </w:trPr>
        <w:tc>
          <w:tcPr>
            <w:tcW w:w="1181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počet (</w:t>
            </w:r>
            <w:proofErr w:type="spellStart"/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fyz</w:t>
            </w:r>
            <w:proofErr w:type="spellEnd"/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.  osoby)</w:t>
            </w:r>
          </w:p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k  31.  12.  2020</w:t>
            </w:r>
          </w:p>
        </w:tc>
        <w:tc>
          <w:tcPr>
            <w:tcW w:w="764" w:type="pct"/>
            <w:vAlign w:val="center"/>
          </w:tcPr>
          <w:p w:rsidR="002A6103" w:rsidRPr="00404171" w:rsidRDefault="00D01BA6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764" w:type="pct"/>
            <w:vAlign w:val="center"/>
          </w:tcPr>
          <w:p w:rsidR="002A6103" w:rsidRPr="00404171" w:rsidRDefault="00D01BA6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764" w:type="pct"/>
            <w:vAlign w:val="center"/>
          </w:tcPr>
          <w:p w:rsidR="002A6103" w:rsidRPr="00404171" w:rsidRDefault="00D01BA6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764" w:type="pct"/>
            <w:vAlign w:val="center"/>
          </w:tcPr>
          <w:p w:rsidR="002A6103" w:rsidRPr="00404171" w:rsidRDefault="00D01BA6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763" w:type="pct"/>
            <w:vAlign w:val="center"/>
          </w:tcPr>
          <w:p w:rsidR="002A6103" w:rsidRPr="00404171" w:rsidRDefault="00D01BA6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</w:t>
            </w:r>
          </w:p>
        </w:tc>
      </w:tr>
    </w:tbl>
    <w:p w:rsidR="002A6103" w:rsidRPr="00404171" w:rsidRDefault="002A6103" w:rsidP="002A6103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Celkový počet pedagogických pracovníků v bodě 6 musí být stejný jako v bodě 7. </w:t>
      </w:r>
    </w:p>
    <w:p w:rsidR="002A6103" w:rsidRPr="00404171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další vzdělávání pedagogických pracovníků</w:t>
      </w:r>
    </w:p>
    <w:p w:rsidR="002A6103" w:rsidRPr="00415599" w:rsidRDefault="002A6103" w:rsidP="002A6103">
      <w:pPr>
        <w:numPr>
          <w:ilvl w:val="1"/>
          <w:numId w:val="2"/>
        </w:numPr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počet pedagogických pracovníků, kteří si doplňují odbornou kvalifikaci</w:t>
      </w:r>
      <w:r w:rsidR="00415599">
        <w:rPr>
          <w:rFonts w:eastAsia="Times New Roman"/>
          <w:szCs w:val="24"/>
          <w:lang w:eastAsia="cs-CZ"/>
        </w:rPr>
        <w:t xml:space="preserve"> </w:t>
      </w:r>
      <w:r w:rsidR="00415599" w:rsidRPr="00415599">
        <w:rPr>
          <w:rFonts w:eastAsia="Times New Roman"/>
          <w:b/>
          <w:szCs w:val="24"/>
          <w:lang w:eastAsia="cs-CZ"/>
        </w:rPr>
        <w:t>1</w:t>
      </w:r>
    </w:p>
    <w:p w:rsidR="00415599" w:rsidRPr="00415599" w:rsidRDefault="002A6103" w:rsidP="00415599">
      <w:pPr>
        <w:numPr>
          <w:ilvl w:val="1"/>
          <w:numId w:val="2"/>
        </w:numPr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průběžné vzdělávání - uvést nejpočetněji zastoupená témata</w:t>
      </w:r>
      <w:r w:rsidR="00415599">
        <w:rPr>
          <w:rFonts w:eastAsia="Times New Roman"/>
          <w:szCs w:val="24"/>
          <w:lang w:eastAsia="cs-CZ"/>
        </w:rPr>
        <w:t xml:space="preserve">: </w:t>
      </w:r>
      <w:r w:rsidR="00415599" w:rsidRPr="00415599">
        <w:rPr>
          <w:rFonts w:eastAsia="Times New Roman"/>
          <w:b/>
          <w:szCs w:val="24"/>
          <w:lang w:eastAsia="cs-CZ"/>
        </w:rPr>
        <w:t>polytechnická výchova, inkluze, ICT, cizí jazyky, gramotnosti</w:t>
      </w:r>
      <w:r w:rsidR="00415599">
        <w:rPr>
          <w:rFonts w:eastAsia="Times New Roman"/>
          <w:b/>
          <w:szCs w:val="24"/>
          <w:lang w:eastAsia="cs-CZ"/>
        </w:rPr>
        <w:t>, spolupráce s AP</w:t>
      </w:r>
    </w:p>
    <w:p w:rsidR="002A6103" w:rsidRPr="00415599" w:rsidRDefault="002A6103" w:rsidP="002A6103">
      <w:pPr>
        <w:numPr>
          <w:ilvl w:val="1"/>
          <w:numId w:val="2"/>
        </w:numPr>
        <w:spacing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2A6103" w:rsidRPr="00404171" w:rsidRDefault="002A6103" w:rsidP="002A6103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zápisy do MŠ pro školní rok 2021</w:t>
      </w:r>
      <w:r w:rsidRPr="00404171">
        <w:rPr>
          <w:rFonts w:eastAsia="Times New Roman"/>
          <w:szCs w:val="24"/>
          <w:lang w:eastAsia="cs-CZ"/>
        </w:rPr>
        <w:t>/20</w:t>
      </w:r>
      <w:r>
        <w:rPr>
          <w:rFonts w:eastAsia="Times New Roman"/>
          <w:szCs w:val="24"/>
          <w:lang w:eastAsia="cs-CZ"/>
        </w:rPr>
        <w:t>22</w:t>
      </w:r>
    </w:p>
    <w:tbl>
      <w:tblPr>
        <w:tblpPr w:leftFromText="141" w:rightFromText="141" w:vertAnchor="text" w:horzAnchor="margin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209"/>
        <w:gridCol w:w="1211"/>
        <w:gridCol w:w="1211"/>
        <w:gridCol w:w="1068"/>
        <w:gridCol w:w="1068"/>
        <w:gridCol w:w="1191"/>
        <w:gridCol w:w="1173"/>
      </w:tblGrid>
      <w:tr w:rsidR="002A6103" w:rsidRPr="00404171" w:rsidTr="00162507">
        <w:trPr>
          <w:cantSplit/>
          <w:trHeight w:val="454"/>
        </w:trPr>
        <w:tc>
          <w:tcPr>
            <w:tcW w:w="514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2003" w:type="pct"/>
            <w:gridSpan w:val="3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přihlášené děti</w:t>
            </w:r>
          </w:p>
        </w:tc>
        <w:tc>
          <w:tcPr>
            <w:tcW w:w="1835" w:type="pct"/>
            <w:gridSpan w:val="3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přijaté děti</w:t>
            </w:r>
          </w:p>
        </w:tc>
        <w:tc>
          <w:tcPr>
            <w:tcW w:w="647" w:type="pct"/>
            <w:vMerge w:val="restar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děti odcházející do ZŠ</w:t>
            </w:r>
          </w:p>
        </w:tc>
      </w:tr>
      <w:tr w:rsidR="002A6103" w:rsidRPr="00404171" w:rsidTr="00162507">
        <w:trPr>
          <w:cantSplit/>
          <w:trHeight w:val="170"/>
        </w:trPr>
        <w:tc>
          <w:tcPr>
            <w:tcW w:w="514" w:type="pct"/>
            <w:vMerge w:val="restar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počet</w:t>
            </w:r>
          </w:p>
        </w:tc>
        <w:tc>
          <w:tcPr>
            <w:tcW w:w="2003" w:type="pct"/>
            <w:gridSpan w:val="3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z toho:</w:t>
            </w:r>
          </w:p>
        </w:tc>
        <w:tc>
          <w:tcPr>
            <w:tcW w:w="1835" w:type="pct"/>
            <w:gridSpan w:val="3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z toho:</w:t>
            </w:r>
          </w:p>
        </w:tc>
        <w:tc>
          <w:tcPr>
            <w:tcW w:w="647" w:type="pct"/>
            <w:vMerge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2A6103" w:rsidRPr="00404171" w:rsidTr="00162507">
        <w:trPr>
          <w:cantSplit/>
          <w:trHeight w:val="170"/>
        </w:trPr>
        <w:tc>
          <w:tcPr>
            <w:tcW w:w="514" w:type="pct"/>
            <w:vMerge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667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MČ</w:t>
            </w:r>
          </w:p>
        </w:tc>
        <w:tc>
          <w:tcPr>
            <w:tcW w:w="668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HMP</w:t>
            </w:r>
          </w:p>
        </w:tc>
        <w:tc>
          <w:tcPr>
            <w:tcW w:w="668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ost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kraje</w:t>
            </w:r>
            <w:proofErr w:type="gramEnd"/>
          </w:p>
        </w:tc>
        <w:tc>
          <w:tcPr>
            <w:tcW w:w="589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MČ</w:t>
            </w:r>
          </w:p>
        </w:tc>
        <w:tc>
          <w:tcPr>
            <w:tcW w:w="589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HMP</w:t>
            </w:r>
          </w:p>
        </w:tc>
        <w:tc>
          <w:tcPr>
            <w:tcW w:w="657" w:type="pct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ost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kraje</w:t>
            </w:r>
            <w:proofErr w:type="gramEnd"/>
          </w:p>
        </w:tc>
        <w:tc>
          <w:tcPr>
            <w:tcW w:w="647" w:type="pct"/>
            <w:vMerge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2A6103" w:rsidRPr="00404171" w:rsidTr="00162507">
        <w:trPr>
          <w:cantSplit/>
          <w:trHeight w:val="454"/>
        </w:trPr>
        <w:tc>
          <w:tcPr>
            <w:tcW w:w="514" w:type="pct"/>
            <w:vMerge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667" w:type="pct"/>
            <w:vAlign w:val="center"/>
          </w:tcPr>
          <w:p w:rsidR="002A6103" w:rsidRPr="00404171" w:rsidRDefault="00415599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102</w:t>
            </w:r>
          </w:p>
        </w:tc>
        <w:tc>
          <w:tcPr>
            <w:tcW w:w="668" w:type="pct"/>
            <w:vAlign w:val="center"/>
          </w:tcPr>
          <w:p w:rsidR="002A6103" w:rsidRPr="00404171" w:rsidRDefault="009A18B1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668" w:type="pct"/>
            <w:vAlign w:val="center"/>
          </w:tcPr>
          <w:p w:rsidR="002A6103" w:rsidRPr="00404171" w:rsidRDefault="00415599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589" w:type="pct"/>
            <w:vAlign w:val="center"/>
          </w:tcPr>
          <w:p w:rsidR="002A6103" w:rsidRPr="00404171" w:rsidRDefault="009A18B1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</w:t>
            </w:r>
            <w:r w:rsidR="00415599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9</w:t>
            </w:r>
          </w:p>
        </w:tc>
        <w:tc>
          <w:tcPr>
            <w:tcW w:w="589" w:type="pct"/>
            <w:vAlign w:val="center"/>
          </w:tcPr>
          <w:p w:rsidR="002A6103" w:rsidRPr="00404171" w:rsidRDefault="009A18B1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657" w:type="pct"/>
            <w:vAlign w:val="center"/>
          </w:tcPr>
          <w:p w:rsidR="002A6103" w:rsidRPr="00404171" w:rsidRDefault="009A18B1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647" w:type="pct"/>
            <w:vAlign w:val="center"/>
          </w:tcPr>
          <w:p w:rsidR="002A6103" w:rsidRPr="00404171" w:rsidRDefault="009A18B1" w:rsidP="0016250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49</w:t>
            </w:r>
          </w:p>
        </w:tc>
      </w:tr>
    </w:tbl>
    <w:p w:rsidR="002A6103" w:rsidRPr="00404171" w:rsidRDefault="002A6103" w:rsidP="002A6103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vyhodnocení nepřijatých dětí – důvody, např. věk, trvalý pobyt apod. </w:t>
      </w:r>
    </w:p>
    <w:p w:rsidR="002A6103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využití poradenských služeb pro MŠ (PPP, SPC, speciální pedagog),</w:t>
      </w:r>
    </w:p>
    <w:p w:rsidR="009A18B1" w:rsidRPr="009A18B1" w:rsidRDefault="009A18B1" w:rsidP="009A18B1">
      <w:pPr>
        <w:pStyle w:val="Odstavecseseznamem"/>
        <w:rPr>
          <w:b/>
        </w:rPr>
      </w:pPr>
      <w:r w:rsidRPr="009A18B1">
        <w:rPr>
          <w:b/>
        </w:rPr>
        <w:t>spolupráce s e speciálními pedagogy, SPC, PPP</w:t>
      </w:r>
    </w:p>
    <w:p w:rsidR="009A18B1" w:rsidRPr="00404171" w:rsidRDefault="009A18B1" w:rsidP="002D103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2A6103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spolupráce s rodiči a ostatními partnery (neuvádět znovu viz bod 10), včetně mezinárodní spolupráce, mimoškolní aktivity, </w:t>
      </w:r>
    </w:p>
    <w:p w:rsidR="002D103A" w:rsidRPr="004A352F" w:rsidRDefault="002D103A" w:rsidP="002D103A">
      <w:pPr>
        <w:pStyle w:val="Odstavecseseznamem"/>
        <w:jc w:val="left"/>
        <w:rPr>
          <w:b/>
          <w:sz w:val="24"/>
        </w:rPr>
      </w:pPr>
      <w:r w:rsidRPr="004A352F">
        <w:rPr>
          <w:b/>
          <w:sz w:val="24"/>
        </w:rPr>
        <w:t>Spolupráce s rodiči- rodičovský výbor, rodičovské schůzky, společné akce rodiče x děti</w:t>
      </w:r>
      <w:r>
        <w:rPr>
          <w:b/>
          <w:sz w:val="24"/>
        </w:rPr>
        <w:t xml:space="preserve"> x učitelé;  spolupráce se </w:t>
      </w:r>
      <w:proofErr w:type="spellStart"/>
      <w:r>
        <w:rPr>
          <w:b/>
          <w:sz w:val="24"/>
        </w:rPr>
        <w:t>SpgŠ</w:t>
      </w:r>
      <w:proofErr w:type="spellEnd"/>
      <w:r>
        <w:rPr>
          <w:b/>
          <w:sz w:val="24"/>
        </w:rPr>
        <w:t xml:space="preserve"> Praha 6</w:t>
      </w:r>
    </w:p>
    <w:p w:rsidR="002D103A" w:rsidRPr="004A352F" w:rsidRDefault="002D103A" w:rsidP="002D103A">
      <w:pPr>
        <w:pStyle w:val="Podnadpis"/>
        <w:ind w:left="720"/>
        <w:jc w:val="left"/>
        <w:rPr>
          <w:bCs w:val="0"/>
        </w:rPr>
      </w:pPr>
      <w:r w:rsidRPr="004A352F">
        <w:rPr>
          <w:bCs w:val="0"/>
        </w:rPr>
        <w:t xml:space="preserve">Mimoškolní aktivity: </w:t>
      </w:r>
      <w:proofErr w:type="spellStart"/>
      <w:r w:rsidRPr="004A352F">
        <w:rPr>
          <w:bCs w:val="0"/>
        </w:rPr>
        <w:t>předplavecká</w:t>
      </w:r>
      <w:proofErr w:type="spellEnd"/>
      <w:r w:rsidRPr="004A352F">
        <w:rPr>
          <w:bCs w:val="0"/>
        </w:rPr>
        <w:t xml:space="preserve"> výuka, kroužek tanečků </w:t>
      </w:r>
    </w:p>
    <w:p w:rsidR="002D103A" w:rsidRPr="00404171" w:rsidRDefault="002D103A" w:rsidP="002D103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2A6103" w:rsidRPr="002D103A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 xml:space="preserve">zkušenosti s výukou cizích jazyků v rámci vzdělávacího programu školy, </w:t>
      </w:r>
    </w:p>
    <w:p w:rsidR="002D103A" w:rsidRPr="002D103A" w:rsidRDefault="002D103A" w:rsidP="002D103A">
      <w:pPr>
        <w:pStyle w:val="Odstavecseseznamem"/>
        <w:rPr>
          <w:b/>
        </w:rPr>
      </w:pPr>
      <w:r w:rsidRPr="002D103A">
        <w:rPr>
          <w:b/>
          <w:iCs/>
        </w:rPr>
        <w:t>nerealizujeme</w:t>
      </w:r>
    </w:p>
    <w:p w:rsidR="002D103A" w:rsidRPr="00404171" w:rsidRDefault="002D103A" w:rsidP="002D103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2A6103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vzdělávání cizinců a příslušníků národnostních menšin, počet dětí cizinců ze států EU a ostatních států (uvést nejvíce zastoupené státy), zkušenosti s integrací a dalším začleňováním dětí cizinců do prostředí MŠ,</w:t>
      </w:r>
    </w:p>
    <w:p w:rsidR="002D103A" w:rsidRDefault="002D103A" w:rsidP="002D103A">
      <w:pPr>
        <w:pStyle w:val="Odstavecseseznamem"/>
        <w:rPr>
          <w:b/>
        </w:rPr>
      </w:pPr>
      <w:r>
        <w:rPr>
          <w:b/>
        </w:rPr>
        <w:t>EU 5</w:t>
      </w:r>
    </w:p>
    <w:p w:rsidR="002D103A" w:rsidRDefault="002D103A" w:rsidP="002D103A">
      <w:pPr>
        <w:pStyle w:val="Odstavecseseznamem"/>
        <w:rPr>
          <w:b/>
        </w:rPr>
      </w:pPr>
      <w:r w:rsidRPr="002D103A">
        <w:rPr>
          <w:b/>
        </w:rPr>
        <w:t>Ukrajina 1</w:t>
      </w:r>
    </w:p>
    <w:p w:rsidR="002D103A" w:rsidRPr="002D103A" w:rsidRDefault="002D103A" w:rsidP="002D103A">
      <w:pPr>
        <w:pStyle w:val="Odstavecseseznamem"/>
        <w:rPr>
          <w:b/>
        </w:rPr>
      </w:pPr>
      <w:r>
        <w:rPr>
          <w:b/>
        </w:rPr>
        <w:lastRenderedPageBreak/>
        <w:t>Srbsko 1</w:t>
      </w:r>
    </w:p>
    <w:p w:rsidR="002D103A" w:rsidRPr="002D103A" w:rsidRDefault="002D103A" w:rsidP="002D103A">
      <w:pPr>
        <w:pStyle w:val="Odstavecseseznamem"/>
        <w:rPr>
          <w:b/>
        </w:rPr>
      </w:pPr>
      <w:r w:rsidRPr="002D103A">
        <w:rPr>
          <w:b/>
        </w:rPr>
        <w:t>Rusko 1</w:t>
      </w:r>
    </w:p>
    <w:p w:rsidR="002D103A" w:rsidRDefault="002D103A" w:rsidP="002D103A">
      <w:pPr>
        <w:pStyle w:val="Odstavecseseznamem"/>
        <w:rPr>
          <w:b/>
        </w:rPr>
      </w:pPr>
      <w:r>
        <w:rPr>
          <w:b/>
        </w:rPr>
        <w:t>Vietnam 4</w:t>
      </w:r>
    </w:p>
    <w:p w:rsidR="002D103A" w:rsidRPr="002D103A" w:rsidRDefault="002D103A" w:rsidP="002D103A">
      <w:pPr>
        <w:pStyle w:val="Odstavecseseznamem"/>
        <w:rPr>
          <w:b/>
        </w:rPr>
      </w:pPr>
      <w:r>
        <w:rPr>
          <w:b/>
        </w:rPr>
        <w:t>Korejská republika 1</w:t>
      </w:r>
    </w:p>
    <w:p w:rsidR="002D103A" w:rsidRPr="002D103A" w:rsidRDefault="002D103A" w:rsidP="002D103A">
      <w:pPr>
        <w:pStyle w:val="Odstavecseseznamem"/>
        <w:rPr>
          <w:b/>
        </w:rPr>
      </w:pPr>
    </w:p>
    <w:p w:rsidR="002D103A" w:rsidRPr="00404171" w:rsidRDefault="002D103A" w:rsidP="002D103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2A6103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environmentální výchova,</w:t>
      </w:r>
    </w:p>
    <w:p w:rsidR="002D103A" w:rsidRPr="004F11C7" w:rsidRDefault="002D103A" w:rsidP="002D103A">
      <w:pPr>
        <w:pStyle w:val="Odstavecseseznamem"/>
        <w:autoSpaceDE w:val="0"/>
        <w:autoSpaceDN w:val="0"/>
        <w:rPr>
          <w:b/>
          <w:bCs/>
        </w:rPr>
      </w:pPr>
      <w:r w:rsidRPr="004F11C7">
        <w:rPr>
          <w:b/>
          <w:sz w:val="24"/>
        </w:rPr>
        <w:t xml:space="preserve">Pobočka MŠ Londýnská má zpracovaný projekt a realizuje projekt Zahrada všemi smysly. </w:t>
      </w:r>
      <w:r w:rsidRPr="004F11C7">
        <w:rPr>
          <w:b/>
        </w:rPr>
        <w:t>Zařazována průběžně, jako součást tematických celků. Pro aplikaci environmentální výchovy využíváme zejména pobyty ve škole v přírodě, projektové dny, tematické výlety a výlety do přírody.</w:t>
      </w:r>
    </w:p>
    <w:p w:rsidR="002D103A" w:rsidRPr="00404171" w:rsidRDefault="002D103A" w:rsidP="002D103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2A6103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multikulturní výchova,</w:t>
      </w:r>
    </w:p>
    <w:p w:rsidR="002D103A" w:rsidRDefault="002D103A" w:rsidP="002D103A">
      <w:pPr>
        <w:pStyle w:val="Odstavecseseznamem"/>
        <w:autoSpaceDE w:val="0"/>
        <w:autoSpaceDN w:val="0"/>
        <w:rPr>
          <w:b/>
          <w:bCs/>
        </w:rPr>
      </w:pPr>
      <w:r>
        <w:rPr>
          <w:b/>
        </w:rPr>
        <w:t>Zařazována dle situace, zejména v souvislosti s nástupem dětí cizinců do MŠ nebo na základě  událostí ve společnosti, které motivují k aktivitám v této oblasti.</w:t>
      </w:r>
    </w:p>
    <w:p w:rsidR="002D103A" w:rsidRPr="00404171" w:rsidRDefault="002D103A" w:rsidP="002D103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2A6103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prevence rizikového chování,</w:t>
      </w:r>
    </w:p>
    <w:p w:rsidR="002D103A" w:rsidRDefault="002D103A" w:rsidP="00010A5E">
      <w:pPr>
        <w:pStyle w:val="Odstavecseseznamem"/>
        <w:autoSpaceDE w:val="0"/>
        <w:autoSpaceDN w:val="0"/>
        <w:rPr>
          <w:b/>
          <w:bCs/>
        </w:rPr>
      </w:pPr>
      <w:r>
        <w:rPr>
          <w:b/>
        </w:rPr>
        <w:t>Problematika je zařazována do tematických celků průběžně v závislosti na aktuální situaci. Děti jsou průběžně poučovány o bezpečném ch</w:t>
      </w:r>
      <w:r w:rsidR="00010A5E">
        <w:rPr>
          <w:b/>
        </w:rPr>
        <w:t>ování. Zpracováno v preventivním programu</w:t>
      </w:r>
      <w:r>
        <w:rPr>
          <w:b/>
        </w:rPr>
        <w:t>.</w:t>
      </w:r>
    </w:p>
    <w:p w:rsidR="002D103A" w:rsidRPr="00404171" w:rsidRDefault="002D103A" w:rsidP="002D103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2A6103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účast škol v rozvojových a mezinárodních programech,</w:t>
      </w:r>
    </w:p>
    <w:p w:rsidR="00010A5E" w:rsidRPr="004F11C7" w:rsidRDefault="00010A5E" w:rsidP="00010A5E">
      <w:pPr>
        <w:pStyle w:val="Odstavecseseznamem"/>
        <w:rPr>
          <w:b/>
          <w:sz w:val="24"/>
        </w:rPr>
      </w:pPr>
      <w:r w:rsidRPr="004F11C7">
        <w:rPr>
          <w:b/>
          <w:sz w:val="24"/>
        </w:rPr>
        <w:t>Škola momentálně není zapojena do žádného mezinárodního projektu.</w:t>
      </w:r>
    </w:p>
    <w:p w:rsidR="00010A5E" w:rsidRPr="00404171" w:rsidRDefault="00010A5E" w:rsidP="00010A5E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2A6103" w:rsidRPr="00404171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děti s trvalým pobytem v jiném kraji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553"/>
        <w:gridCol w:w="553"/>
        <w:gridCol w:w="553"/>
        <w:gridCol w:w="553"/>
        <w:gridCol w:w="553"/>
        <w:gridCol w:w="553"/>
        <w:gridCol w:w="553"/>
        <w:gridCol w:w="556"/>
        <w:gridCol w:w="556"/>
        <w:gridCol w:w="556"/>
        <w:gridCol w:w="556"/>
        <w:gridCol w:w="556"/>
        <w:gridCol w:w="556"/>
        <w:gridCol w:w="553"/>
      </w:tblGrid>
      <w:tr w:rsidR="002A6103" w:rsidRPr="00404171" w:rsidTr="00162507">
        <w:trPr>
          <w:cantSplit/>
          <w:trHeight w:hRule="exact" w:val="340"/>
        </w:trPr>
        <w:tc>
          <w:tcPr>
            <w:tcW w:w="718" w:type="pct"/>
            <w:vMerge w:val="restart"/>
            <w:shd w:val="clear" w:color="auto" w:fill="auto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iCs/>
                <w:szCs w:val="24"/>
                <w:lang w:eastAsia="cs-CZ"/>
              </w:rPr>
              <w:t xml:space="preserve"> </w:t>
            </w:r>
          </w:p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282" w:type="pct"/>
            <w:gridSpan w:val="14"/>
            <w:shd w:val="clear" w:color="auto" w:fill="auto"/>
            <w:vAlign w:val="center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K r a j</w:t>
            </w:r>
          </w:p>
        </w:tc>
      </w:tr>
      <w:tr w:rsidR="002A6103" w:rsidRPr="00404171" w:rsidTr="00162507">
        <w:trPr>
          <w:cantSplit/>
          <w:trHeight w:hRule="exact" w:val="1664"/>
        </w:trPr>
        <w:tc>
          <w:tcPr>
            <w:tcW w:w="718" w:type="pct"/>
            <w:vMerge/>
            <w:shd w:val="clear" w:color="auto" w:fill="auto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shd w:val="clear" w:color="auto" w:fill="auto"/>
            <w:textDirection w:val="btLr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305" w:type="pct"/>
            <w:shd w:val="clear" w:color="auto" w:fill="auto"/>
            <w:textDirection w:val="btLr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305" w:type="pct"/>
            <w:shd w:val="clear" w:color="auto" w:fill="auto"/>
            <w:textDirection w:val="btLr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305" w:type="pct"/>
            <w:shd w:val="clear" w:color="auto" w:fill="auto"/>
            <w:textDirection w:val="btLr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305" w:type="pct"/>
            <w:shd w:val="clear" w:color="auto" w:fill="auto"/>
            <w:textDirection w:val="btLr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305" w:type="pct"/>
            <w:shd w:val="clear" w:color="auto" w:fill="auto"/>
            <w:textDirection w:val="btLr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305" w:type="pct"/>
            <w:shd w:val="clear" w:color="auto" w:fill="auto"/>
            <w:textDirection w:val="btLr"/>
            <w:vAlign w:val="bottom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304" w:type="pct"/>
            <w:shd w:val="clear" w:color="auto" w:fill="auto"/>
            <w:textDirection w:val="btLr"/>
          </w:tcPr>
          <w:p w:rsidR="002A6103" w:rsidRPr="00404171" w:rsidRDefault="002A6103" w:rsidP="0016250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Celkem </w:t>
            </w:r>
          </w:p>
        </w:tc>
      </w:tr>
      <w:tr w:rsidR="002A6103" w:rsidRPr="00404171" w:rsidTr="00162507">
        <w:trPr>
          <w:cantSplit/>
          <w:trHeight w:val="397"/>
        </w:trPr>
        <w:tc>
          <w:tcPr>
            <w:tcW w:w="718" w:type="pct"/>
            <w:vAlign w:val="center"/>
          </w:tcPr>
          <w:p w:rsidR="002A6103" w:rsidRPr="00404171" w:rsidRDefault="002A6103" w:rsidP="00162507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počet dětí celkem</w:t>
            </w: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2A6103" w:rsidRPr="00404171" w:rsidRDefault="002A6103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2A6103" w:rsidRPr="00404171" w:rsidRDefault="002A6103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2A6103" w:rsidRPr="00404171" w:rsidRDefault="002A6103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2A6103" w:rsidRPr="00404171" w:rsidRDefault="001A6B61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07" w:type="pct"/>
          </w:tcPr>
          <w:p w:rsidR="002A6103" w:rsidRPr="00404171" w:rsidRDefault="002A6103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2A6103" w:rsidRPr="00404171" w:rsidRDefault="002A6103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4" w:type="pct"/>
          </w:tcPr>
          <w:p w:rsidR="002A6103" w:rsidRPr="00404171" w:rsidRDefault="006C69F6" w:rsidP="0016250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1</w:t>
            </w:r>
          </w:p>
        </w:tc>
      </w:tr>
      <w:tr w:rsidR="002A6103" w:rsidRPr="00404171" w:rsidTr="00162507">
        <w:trPr>
          <w:cantSplit/>
          <w:trHeight w:val="397"/>
        </w:trPr>
        <w:tc>
          <w:tcPr>
            <w:tcW w:w="718" w:type="pct"/>
            <w:vAlign w:val="center"/>
          </w:tcPr>
          <w:p w:rsidR="002A6103" w:rsidRPr="00404171" w:rsidRDefault="002A6103" w:rsidP="00162507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 toho</w:t>
            </w:r>
          </w:p>
          <w:p w:rsidR="002A6103" w:rsidRPr="00404171" w:rsidRDefault="002A6103" w:rsidP="00162507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nově přijatí</w:t>
            </w: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4" w:type="pct"/>
          </w:tcPr>
          <w:p w:rsidR="002A6103" w:rsidRPr="00404171" w:rsidRDefault="002A6103" w:rsidP="0016250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</w:tr>
    </w:tbl>
    <w:p w:rsidR="002A6103" w:rsidRPr="009C7950" w:rsidRDefault="002A6103" w:rsidP="002A6103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2A6103" w:rsidRPr="00010A5E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další údaje o MŠ, které považujete za důležité (naplňování cílů a priorit apod.),</w:t>
      </w:r>
    </w:p>
    <w:p w:rsidR="00010A5E" w:rsidRDefault="00010A5E" w:rsidP="00010A5E">
      <w:pPr>
        <w:pStyle w:val="Odstavecseseznamem"/>
        <w:rPr>
          <w:b/>
          <w:iCs/>
        </w:rPr>
      </w:pPr>
      <w:r>
        <w:rPr>
          <w:b/>
          <w:iCs/>
        </w:rPr>
        <w:t>Získání certifikátu a zapojení do projektu Zdravá školní jídelna. Opakované získání certifikátu Rodiče vítáni. Spolupráce s organizací META – tlumočení pro rodiče dětí s OMJ, pomoc (poradenství) rodičům dětí při zajištění odborné péče u dětí se SVP.</w:t>
      </w:r>
    </w:p>
    <w:p w:rsidR="00010A5E" w:rsidRPr="00010A5E" w:rsidRDefault="00010A5E" w:rsidP="00010A5E">
      <w:pPr>
        <w:pStyle w:val="Odstavecseseznamem"/>
      </w:pPr>
    </w:p>
    <w:p w:rsidR="00010A5E" w:rsidRPr="00404171" w:rsidRDefault="00010A5E" w:rsidP="00010A5E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2A6103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naplňování cílů, opatření a aktivit vyplývajících z Dlouhodobého záměru vzdělávání a rozvoje vzdělávací s</w:t>
      </w:r>
      <w:r>
        <w:rPr>
          <w:rFonts w:eastAsia="Times New Roman"/>
          <w:iCs/>
          <w:szCs w:val="24"/>
          <w:lang w:eastAsia="cs-CZ"/>
        </w:rPr>
        <w:t>oustavy hlavního města Prahy.</w:t>
      </w:r>
    </w:p>
    <w:p w:rsidR="00010A5E" w:rsidRPr="001A6B61" w:rsidRDefault="00010A5E" w:rsidP="00010A5E">
      <w:pPr>
        <w:rPr>
          <w:b/>
        </w:rPr>
      </w:pPr>
      <w:r w:rsidRPr="001A6B61">
        <w:rPr>
          <w:b/>
        </w:rPr>
        <w:t>Škola naplňuje cíle v níže uvedených oblastech:</w:t>
      </w:r>
    </w:p>
    <w:p w:rsidR="00AB2343" w:rsidRPr="001A6B61" w:rsidRDefault="00AB2343" w:rsidP="00AB234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1A6B61">
        <w:rPr>
          <w:rFonts w:ascii="Times New Roman" w:hAnsi="Times New Roman" w:cs="Times New Roman"/>
          <w:color w:val="auto"/>
        </w:rPr>
        <w:t>Podpora výuky mateřského jazyka</w:t>
      </w:r>
    </w:p>
    <w:p w:rsidR="00AB2343" w:rsidRPr="001A6B61" w:rsidRDefault="00AB2343" w:rsidP="00AB234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1A6B61">
        <w:rPr>
          <w:rFonts w:ascii="Times New Roman" w:hAnsi="Times New Roman" w:cs="Times New Roman"/>
          <w:color w:val="auto"/>
        </w:rPr>
        <w:t>Podpora pedagogů MŠ ve studiu metodiky výuky cizích jazyků</w:t>
      </w:r>
    </w:p>
    <w:p w:rsidR="00010A5E" w:rsidRPr="001A6B61" w:rsidRDefault="00010A5E" w:rsidP="00010A5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1A6B61">
        <w:rPr>
          <w:rFonts w:ascii="Times New Roman" w:hAnsi="Times New Roman" w:cs="Times New Roman"/>
          <w:color w:val="auto"/>
        </w:rPr>
        <w:t xml:space="preserve">Podpora polytechnické výchovy a </w:t>
      </w:r>
      <w:r w:rsidR="00AB2343" w:rsidRPr="001A6B61">
        <w:rPr>
          <w:rFonts w:ascii="Times New Roman" w:hAnsi="Times New Roman" w:cs="Times New Roman"/>
          <w:color w:val="auto"/>
        </w:rPr>
        <w:t>podpora digitálních kompetencí u dětí v MŠ za pomoci aktuálních a doporučených metodik</w:t>
      </w:r>
      <w:r w:rsidRPr="001A6B61">
        <w:rPr>
          <w:rFonts w:ascii="Times New Roman" w:hAnsi="Times New Roman" w:cs="Times New Roman"/>
          <w:color w:val="auto"/>
        </w:rPr>
        <w:t xml:space="preserve"> </w:t>
      </w:r>
    </w:p>
    <w:p w:rsidR="00AB2343" w:rsidRDefault="00AB2343" w:rsidP="00AB234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>Vzdělávání pedagogů v oblasti logopedické péče.</w:t>
      </w:r>
    </w:p>
    <w:p w:rsidR="00AB2343" w:rsidRPr="00C30B07" w:rsidRDefault="00AB2343" w:rsidP="00AB234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 xml:space="preserve">Zvýšená nabídka vzdělávání pedagogů MŠ v oblasti vzdělávání dětí s OMJ. </w:t>
      </w:r>
    </w:p>
    <w:p w:rsidR="00AB2343" w:rsidRDefault="00AB2343" w:rsidP="00AB234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 xml:space="preserve"> Podpora předškolní přípravy dětí s OMJ na vstup do základního vzdělávání. </w:t>
      </w:r>
    </w:p>
    <w:p w:rsidR="00AB2343" w:rsidRPr="00C30B07" w:rsidRDefault="00AB2343" w:rsidP="00AB234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 xml:space="preserve">Zajištění výuky češtiny jako druhého jazyka v potřebném rozsahu. </w:t>
      </w:r>
    </w:p>
    <w:p w:rsidR="00AB2343" w:rsidRPr="00C30B07" w:rsidRDefault="00AB2343" w:rsidP="00AB234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 vzdělávání pedagogů MŠ v oblasti zdravého životního stylu a tělovýchovy.</w:t>
      </w:r>
    </w:p>
    <w:p w:rsidR="00AB2343" w:rsidRPr="00C30B07" w:rsidRDefault="00AB2343" w:rsidP="00AB234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 xml:space="preserve">Vzdělávání dětí předškolního věku v prevenci proti úrazům a zraněním při různých činnostech s ohledem na věk dítěte. </w:t>
      </w:r>
    </w:p>
    <w:p w:rsidR="00AB2343" w:rsidRPr="001A6B61" w:rsidRDefault="001A6B61" w:rsidP="001A6B6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 tělesné výchovy a sportu v MŠ.</w:t>
      </w:r>
    </w:p>
    <w:p w:rsidR="00010A5E" w:rsidRPr="00C30B07" w:rsidRDefault="00010A5E" w:rsidP="00010A5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 xml:space="preserve">Vzdělávání pedagogů MŠ v oblasti speciální pedagogiky. </w:t>
      </w:r>
    </w:p>
    <w:p w:rsidR="00010A5E" w:rsidRPr="00C30B07" w:rsidRDefault="00010A5E" w:rsidP="00010A5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>Využití podpůrných opatření se zapojením asistenta pedagoga do výuky</w:t>
      </w:r>
      <w:r>
        <w:rPr>
          <w:rFonts w:ascii="Times New Roman" w:hAnsi="Times New Roman" w:cs="Times New Roman"/>
        </w:rPr>
        <w:t>.</w:t>
      </w:r>
    </w:p>
    <w:p w:rsidR="00010A5E" w:rsidRDefault="00010A5E" w:rsidP="001A6B6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A6B61">
        <w:rPr>
          <w:rFonts w:ascii="Times New Roman" w:hAnsi="Times New Roman" w:cs="Times New Roman"/>
          <w:sz w:val="22"/>
          <w:szCs w:val="22"/>
        </w:rPr>
        <w:t>Podpora rozvoje forem spoluúčasti a zapojování rodičovské veřejnosti do aktivit realizovaných MŠ a podpora spoluúčasti rodičů (komunity) na programu mateřské školy, a to formou realizace konkrétních projektů,</w:t>
      </w:r>
    </w:p>
    <w:p w:rsidR="001A6B61" w:rsidRPr="001A6B61" w:rsidRDefault="001A6B61" w:rsidP="001A6B6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Podpora zapojení rodičů do procesu přípravy na přechod z předškolního vzdělávání na ZŠ s cílem, za pomoci poradenských zařízení, odklady školní docházky.</w:t>
      </w:r>
    </w:p>
    <w:p w:rsidR="001A6B61" w:rsidRDefault="001A6B61" w:rsidP="001A6B61">
      <w:pPr>
        <w:spacing w:line="240" w:lineRule="auto"/>
        <w:ind w:left="720"/>
        <w:jc w:val="both"/>
        <w:rPr>
          <w:rFonts w:eastAsia="Times New Roman"/>
          <w:iCs/>
          <w:szCs w:val="24"/>
          <w:lang w:eastAsia="cs-CZ"/>
        </w:rPr>
      </w:pPr>
    </w:p>
    <w:p w:rsidR="002A6103" w:rsidRPr="00010A5E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 w:rsidRPr="00677D29">
        <w:rPr>
          <w:rFonts w:eastAsia="Times New Roman"/>
          <w:iCs/>
          <w:szCs w:val="24"/>
          <w:lang w:eastAsia="cs-CZ"/>
        </w:rPr>
        <w:t xml:space="preserve">stručný popis problematiky související s rozšířením nemoci COVID-19 na území České republiky – a z toho vyplývajících </w:t>
      </w:r>
      <w:r>
        <w:rPr>
          <w:rFonts w:eastAsia="Times New Roman"/>
          <w:szCs w:val="24"/>
          <w:lang w:eastAsia="cs-CZ"/>
        </w:rPr>
        <w:t>změn ve fungování MŠ</w:t>
      </w:r>
      <w:r w:rsidRPr="00677D29">
        <w:rPr>
          <w:rFonts w:eastAsia="Times New Roman"/>
          <w:szCs w:val="24"/>
          <w:lang w:eastAsia="cs-CZ"/>
        </w:rPr>
        <w:t xml:space="preserve"> z důvodu </w:t>
      </w:r>
      <w:r>
        <w:rPr>
          <w:rFonts w:eastAsia="Times New Roman"/>
          <w:szCs w:val="24"/>
          <w:lang w:eastAsia="cs-CZ"/>
        </w:rPr>
        <w:t xml:space="preserve">omezení nebo </w:t>
      </w:r>
      <w:r w:rsidRPr="00677D29">
        <w:rPr>
          <w:rFonts w:eastAsia="Times New Roman"/>
          <w:szCs w:val="24"/>
          <w:lang w:eastAsia="cs-CZ"/>
        </w:rPr>
        <w:t>uzavření škol.</w:t>
      </w:r>
    </w:p>
    <w:p w:rsidR="00010A5E" w:rsidRDefault="00010A5E" w:rsidP="00010A5E">
      <w:pPr>
        <w:pStyle w:val="Odstavecseseznamem"/>
        <w:numPr>
          <w:ilvl w:val="1"/>
          <w:numId w:val="1"/>
        </w:numPr>
        <w:rPr>
          <w:iCs/>
        </w:rPr>
      </w:pPr>
      <w:r>
        <w:rPr>
          <w:iCs/>
        </w:rPr>
        <w:t>Omezení kontaktu se zákonnými zástupci a dětmi</w:t>
      </w:r>
    </w:p>
    <w:p w:rsidR="00010A5E" w:rsidRDefault="00010A5E" w:rsidP="00010A5E">
      <w:pPr>
        <w:pStyle w:val="Odstavecseseznamem"/>
        <w:numPr>
          <w:ilvl w:val="1"/>
          <w:numId w:val="1"/>
        </w:numPr>
        <w:rPr>
          <w:iCs/>
        </w:rPr>
      </w:pPr>
      <w:r>
        <w:rPr>
          <w:iCs/>
        </w:rPr>
        <w:t>U mladších dětí opakovaná adaptace na prostředí MŠ</w:t>
      </w:r>
    </w:p>
    <w:p w:rsidR="00010A5E" w:rsidRDefault="00010A5E" w:rsidP="00010A5E">
      <w:pPr>
        <w:pStyle w:val="Odstavecseseznamem"/>
        <w:numPr>
          <w:ilvl w:val="1"/>
          <w:numId w:val="1"/>
        </w:numPr>
        <w:rPr>
          <w:iCs/>
        </w:rPr>
      </w:pPr>
      <w:r>
        <w:rPr>
          <w:iCs/>
        </w:rPr>
        <w:t>Rušení škol v přírodě</w:t>
      </w:r>
    </w:p>
    <w:p w:rsidR="00010A5E" w:rsidRDefault="00010A5E" w:rsidP="00010A5E">
      <w:pPr>
        <w:pStyle w:val="Odstavecseseznamem"/>
        <w:numPr>
          <w:ilvl w:val="1"/>
          <w:numId w:val="1"/>
        </w:numPr>
        <w:rPr>
          <w:iCs/>
        </w:rPr>
      </w:pPr>
      <w:r>
        <w:rPr>
          <w:iCs/>
        </w:rPr>
        <w:t>Rušení společných aktivit s rodiči a pro rodiče (schůzky, besídky, společná tvoření, atd.)</w:t>
      </w:r>
    </w:p>
    <w:p w:rsidR="00010A5E" w:rsidRPr="00C30B07" w:rsidRDefault="00010A5E" w:rsidP="00010A5E">
      <w:pPr>
        <w:pStyle w:val="Odstavecseseznamem"/>
        <w:numPr>
          <w:ilvl w:val="1"/>
          <w:numId w:val="1"/>
        </w:numPr>
        <w:rPr>
          <w:iCs/>
        </w:rPr>
      </w:pPr>
      <w:r>
        <w:rPr>
          <w:iCs/>
        </w:rPr>
        <w:t>Omezení aktivit pro děti mimo školu</w:t>
      </w:r>
    </w:p>
    <w:p w:rsidR="00010A5E" w:rsidRPr="00677D29" w:rsidRDefault="00010A5E" w:rsidP="00010A5E">
      <w:pPr>
        <w:spacing w:line="240" w:lineRule="auto"/>
        <w:ind w:left="720"/>
        <w:jc w:val="both"/>
        <w:rPr>
          <w:rFonts w:eastAsia="Times New Roman"/>
          <w:iCs/>
          <w:szCs w:val="24"/>
          <w:lang w:eastAsia="cs-CZ"/>
        </w:rPr>
      </w:pPr>
    </w:p>
    <w:p w:rsidR="002A6103" w:rsidRPr="00404171" w:rsidRDefault="002A6103" w:rsidP="002A6103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informace o počtech dětí ve škole s odlišným mateřským jazykem ve vztahu ke znalosti českého jazyka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A6103" w:rsidRPr="00404171" w:rsidTr="00162507">
        <w:tc>
          <w:tcPr>
            <w:tcW w:w="5000" w:type="pct"/>
            <w:gridSpan w:val="2"/>
            <w:shd w:val="clear" w:color="auto" w:fill="auto"/>
            <w:vAlign w:val="center"/>
          </w:tcPr>
          <w:p w:rsidR="002A6103" w:rsidRPr="00404171" w:rsidRDefault="002A6103" w:rsidP="00162507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Zjišťování počtu dětí s potřebou podpory doučování českého jazyka</w:t>
            </w:r>
          </w:p>
        </w:tc>
      </w:tr>
      <w:tr w:rsidR="002A6103" w:rsidRPr="00404171" w:rsidTr="00162507">
        <w:tc>
          <w:tcPr>
            <w:tcW w:w="2502" w:type="pct"/>
            <w:shd w:val="clear" w:color="auto" w:fill="auto"/>
            <w:vAlign w:val="center"/>
          </w:tcPr>
          <w:p w:rsidR="002A6103" w:rsidRPr="00404171" w:rsidRDefault="002A6103" w:rsidP="00162507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Stupeň znalosti ČJ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2A6103" w:rsidRPr="00404171" w:rsidRDefault="002A6103" w:rsidP="00162507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Počet dětí</w:t>
            </w:r>
          </w:p>
        </w:tc>
      </w:tr>
      <w:tr w:rsidR="002A6103" w:rsidRPr="00404171" w:rsidTr="00162507">
        <w:tc>
          <w:tcPr>
            <w:tcW w:w="2502" w:type="pct"/>
            <w:shd w:val="clear" w:color="auto" w:fill="auto"/>
            <w:vAlign w:val="center"/>
          </w:tcPr>
          <w:p w:rsidR="002A6103" w:rsidRPr="00404171" w:rsidRDefault="002A6103" w:rsidP="00162507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Úplná neznalost ČJ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2A6103" w:rsidRPr="00404171" w:rsidRDefault="00BC41E0" w:rsidP="00162507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2A6103" w:rsidRPr="00404171" w:rsidTr="00162507">
        <w:tc>
          <w:tcPr>
            <w:tcW w:w="2502" w:type="pct"/>
            <w:shd w:val="clear" w:color="auto" w:fill="auto"/>
            <w:vAlign w:val="center"/>
          </w:tcPr>
          <w:p w:rsidR="002A6103" w:rsidRPr="00404171" w:rsidRDefault="002A6103" w:rsidP="00162507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Nedostatečná znalost ČJ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2A6103" w:rsidRPr="00404171" w:rsidRDefault="00BC41E0" w:rsidP="00162507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5</w:t>
            </w:r>
          </w:p>
        </w:tc>
      </w:tr>
      <w:tr w:rsidR="002A6103" w:rsidRPr="00404171" w:rsidTr="00162507">
        <w:tc>
          <w:tcPr>
            <w:tcW w:w="2502" w:type="pct"/>
            <w:shd w:val="clear" w:color="auto" w:fill="auto"/>
            <w:vAlign w:val="center"/>
          </w:tcPr>
          <w:p w:rsidR="002A6103" w:rsidRPr="00404171" w:rsidRDefault="002A6103" w:rsidP="00162507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Znalost ČJ s potřebou doučování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2A6103" w:rsidRPr="00404171" w:rsidRDefault="00BC41E0" w:rsidP="00162507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6</w:t>
            </w:r>
          </w:p>
        </w:tc>
      </w:tr>
    </w:tbl>
    <w:p w:rsidR="002A6103" w:rsidRDefault="002A6103" w:rsidP="002A6103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:rsidR="002D259F" w:rsidRDefault="002D259F">
      <w:bookmarkStart w:id="0" w:name="_GoBack"/>
      <w:bookmarkEnd w:id="0"/>
    </w:p>
    <w:sectPr w:rsidR="002D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455A"/>
    <w:multiLevelType w:val="hybridMultilevel"/>
    <w:tmpl w:val="AEA43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F7"/>
    <w:rsid w:val="00010A5E"/>
    <w:rsid w:val="001A6B61"/>
    <w:rsid w:val="002A6103"/>
    <w:rsid w:val="002D103A"/>
    <w:rsid w:val="002D259F"/>
    <w:rsid w:val="00415599"/>
    <w:rsid w:val="006C69F6"/>
    <w:rsid w:val="00731455"/>
    <w:rsid w:val="009A18B1"/>
    <w:rsid w:val="00A372F7"/>
    <w:rsid w:val="00AB2343"/>
    <w:rsid w:val="00BC41E0"/>
    <w:rsid w:val="00D01BA6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E111"/>
  <w15:chartTrackingRefBased/>
  <w15:docId w15:val="{AC3C62DD-F007-4B49-AAFF-41175CB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2A6103"/>
    <w:pPr>
      <w:spacing w:after="0" w:line="32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A610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2A6103"/>
    <w:pPr>
      <w:spacing w:line="240" w:lineRule="auto"/>
      <w:ind w:left="720"/>
      <w:contextualSpacing/>
      <w:jc w:val="both"/>
    </w:pPr>
    <w:rPr>
      <w:rFonts w:eastAsia="Times New Roman"/>
      <w:szCs w:val="24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2D103A"/>
    <w:pPr>
      <w:autoSpaceDE w:val="0"/>
      <w:autoSpaceDN w:val="0"/>
      <w:spacing w:line="240" w:lineRule="auto"/>
      <w:jc w:val="center"/>
    </w:pPr>
    <w:rPr>
      <w:rFonts w:eastAsia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2D103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010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1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1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4</cp:revision>
  <cp:lastPrinted>2021-10-20T08:31:00Z</cp:lastPrinted>
  <dcterms:created xsi:type="dcterms:W3CDTF">2021-10-12T08:46:00Z</dcterms:created>
  <dcterms:modified xsi:type="dcterms:W3CDTF">2021-10-20T08:32:00Z</dcterms:modified>
</cp:coreProperties>
</file>